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477" w:type="dxa"/>
        <w:jc w:val="left"/>
        <w:tblInd w:w="0" w:type="dxa"/>
        <w:tblCellMar>
          <w:top w:w="0" w:type="dxa"/>
          <w:left w:w="108" w:type="dxa"/>
          <w:bottom w:w="0" w:type="dxa"/>
          <w:right w:w="108" w:type="dxa"/>
        </w:tblCellMar>
        <w:tblLook w:firstRow="1" w:noVBand="0" w:lastRow="1" w:firstColumn="1" w:lastColumn="1" w:noHBand="0" w:val="01e0"/>
      </w:tblPr>
      <w:tblGrid>
        <w:gridCol w:w="1339"/>
        <w:gridCol w:w="8137"/>
      </w:tblGrid>
      <w:tr>
        <w:trPr>
          <w:trHeight w:val="426" w:hRule="atLeast"/>
        </w:trPr>
        <w:tc>
          <w:tcPr>
            <w:tcW w:w="1339" w:type="dxa"/>
            <w:tcBorders>
              <w:top w:val="nil"/>
              <w:left w:val="nil"/>
              <w:bottom w:val="nil"/>
              <w:right w:val="nil"/>
              <w:insideH w:val="nil"/>
              <w:insideV w:val="nil"/>
            </w:tcBorders>
            <w:shd w:fill="auto" w:val="clear"/>
          </w:tcPr>
          <w:p>
            <w:pPr>
              <w:pStyle w:val="Normal"/>
              <w:spacing w:lineRule="auto" w:line="240" w:before="288" w:after="0"/>
              <w:rPr>
                <w:rFonts w:ascii="Calibri" w:hAnsi="Calibri" w:cs="Arial" w:asciiTheme="minorHAnsi" w:hAnsiTheme="minorHAnsi"/>
                <w:b/>
                <w:b/>
                <w:sz w:val="20"/>
                <w:szCs w:val="20"/>
              </w:rPr>
            </w:pPr>
            <w:bookmarkStart w:id="0" w:name="_GoBack"/>
            <w:bookmarkEnd w:id="0"/>
            <w:r>
              <w:rPr>
                <w:rFonts w:eastAsia="Times New Roman" w:cs="Arial" w:ascii="Calibri" w:hAnsi="Calibri" w:asciiTheme="minorHAnsi" w:hAnsiTheme="minorHAnsi"/>
                <w:b/>
                <w:sz w:val="20"/>
                <w:szCs w:val="20"/>
                <w:lang w:eastAsia="it-IT"/>
              </w:rPr>
              <w:t>Oggetto:</w:t>
            </w:r>
          </w:p>
        </w:tc>
        <w:tc>
          <w:tcPr>
            <w:tcW w:w="8137" w:type="dxa"/>
            <w:tcBorders>
              <w:top w:val="nil"/>
              <w:left w:val="nil"/>
              <w:bottom w:val="nil"/>
              <w:right w:val="nil"/>
              <w:insideH w:val="nil"/>
              <w:insideV w:val="nil"/>
            </w:tcBorders>
            <w:shd w:fill="auto" w:val="clear"/>
          </w:tcPr>
          <w:p>
            <w:pPr>
              <w:pStyle w:val="Normal"/>
              <w:spacing w:lineRule="auto" w:line="240" w:before="288" w:after="0"/>
              <w:rPr>
                <w:rFonts w:ascii="Calibri" w:hAnsi="Calibri" w:cs="Arial" w:asciiTheme="minorHAnsi" w:hAnsiTheme="minorHAnsi"/>
                <w:b/>
                <w:b/>
                <w:sz w:val="20"/>
                <w:szCs w:val="20"/>
              </w:rPr>
            </w:pPr>
            <w:r>
              <w:rPr>
                <w:rFonts w:eastAsia="Times New Roman" w:cs="Arial" w:ascii="Calibri" w:hAnsi="Calibri" w:asciiTheme="minorHAnsi" w:hAnsiTheme="minorHAnsi"/>
                <w:b/>
                <w:sz w:val="20"/>
                <w:szCs w:val="20"/>
                <w:lang w:eastAsia="it-IT"/>
              </w:rPr>
              <w:t xml:space="preserve">Norme di sicurezza </w:t>
            </w:r>
          </w:p>
        </w:tc>
      </w:tr>
      <w:tr>
        <w:trPr>
          <w:trHeight w:val="1080" w:hRule="atLeast"/>
        </w:trPr>
        <w:tc>
          <w:tcPr>
            <w:tcW w:w="1339" w:type="dxa"/>
            <w:tcBorders>
              <w:top w:val="nil"/>
              <w:left w:val="nil"/>
              <w:bottom w:val="nil"/>
              <w:right w:val="nil"/>
              <w:insideH w:val="nil"/>
              <w:insideV w:val="nil"/>
            </w:tcBorders>
            <w:shd w:fill="auto" w:val="clear"/>
          </w:tcPr>
          <w:p>
            <w:pPr>
              <w:pStyle w:val="Normal"/>
              <w:spacing w:lineRule="auto" w:line="240" w:before="288" w:after="0"/>
              <w:rPr>
                <w:rFonts w:ascii="Times New Roman" w:hAnsi="Times New Roman" w:eastAsia="Times New Roman" w:cs="Times New Roman"/>
                <w:b/>
                <w:b/>
                <w:sz w:val="20"/>
                <w:szCs w:val="20"/>
                <w:lang w:eastAsia="it-IT"/>
              </w:rPr>
            </w:pPr>
            <w:r>
              <w:rPr>
                <w:rFonts w:eastAsia="Times New Roman" w:cs="Times New Roman"/>
                <w:b/>
                <w:sz w:val="20"/>
                <w:szCs w:val="20"/>
                <w:lang w:eastAsia="it-IT"/>
              </w:rPr>
            </w:r>
          </w:p>
        </w:tc>
        <w:tc>
          <w:tcPr>
            <w:tcW w:w="8137" w:type="dxa"/>
            <w:tcBorders>
              <w:top w:val="nil"/>
              <w:left w:val="nil"/>
              <w:bottom w:val="nil"/>
              <w:right w:val="nil"/>
              <w:insideH w:val="nil"/>
              <w:insideV w:val="nil"/>
            </w:tcBorders>
            <w:shd w:fill="auto" w:val="clear"/>
          </w:tcPr>
          <w:p>
            <w:pPr>
              <w:pStyle w:val="Normal"/>
              <w:spacing w:lineRule="auto" w:line="240" w:before="288" w:after="0"/>
              <w:jc w:val="both"/>
              <w:rPr>
                <w:rFonts w:ascii="Calibri" w:hAnsi="Calibri" w:cs="Arial" w:asciiTheme="minorHAnsi" w:hAnsiTheme="minorHAnsi"/>
                <w:sz w:val="20"/>
                <w:szCs w:val="20"/>
              </w:rPr>
            </w:pPr>
            <w:r>
              <w:rPr>
                <w:rFonts w:eastAsia="Times New Roman" w:cs="Arial"/>
                <w:sz w:val="20"/>
                <w:szCs w:val="20"/>
                <w:lang w:eastAsia="it-IT"/>
              </w:rPr>
              <w:t xml:space="preserve">Allegato alle “Condizioni Generali </w:t>
            </w:r>
            <w:r>
              <w:rPr>
                <w:rFonts w:eastAsia="Times New Roman" w:cs="Arial"/>
                <w:color w:val="333333"/>
                <w:sz w:val="20"/>
                <w:szCs w:val="20"/>
                <w:lang w:eastAsia="it-IT"/>
              </w:rPr>
              <w:t>di fornitura”</w:t>
            </w:r>
          </w:p>
        </w:tc>
      </w:tr>
    </w:tbl>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Le norme contenute nel presente Allegato integrano – come di volta in volta applicabili - le norme delle Condizioni Generali in oggetto, le cui definizioni devono considerarsi valide anche ai fini del presente documento.</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 xml:space="preserve">Il presente Allegato definisce i sistemi di controllo e gli standard di sicurezza che il FORNITORE si impegna a mantenere attivi ed efficienti per tutta la durata del Contratto in forza del quale si trovi a trattare dati ed informazioni riservate di </w:t>
      </w:r>
      <w:r>
        <w:rPr>
          <w:rFonts w:cs="Arial" w:ascii="Calibri" w:hAnsi="Calibri" w:asciiTheme="minorHAnsi" w:hAnsiTheme="minorHAnsi"/>
          <w:b/>
          <w:sz w:val="20"/>
          <w:szCs w:val="20"/>
        </w:rPr>
        <w:t>AIEOP - Associazione Italiana di Ematologia e Oncologia Pediatrica</w:t>
      </w:r>
      <w:r>
        <w:rPr>
          <w:rFonts w:cs="Arial" w:ascii="Calibri" w:hAnsi="Calibri" w:asciiTheme="minorHAnsi" w:hAnsiTheme="minorHAnsi"/>
          <w:sz w:val="20"/>
          <w:szCs w:val="20"/>
        </w:rPr>
        <w:t>, con sede legale in via Massarenti 11 Bologna.</w:t>
      </w:r>
    </w:p>
    <w:p>
      <w:pPr>
        <w:pStyle w:val="Normal"/>
        <w:spacing w:before="288" w:after="288"/>
        <w:jc w:val="both"/>
        <w:rPr>
          <w:rFonts w:ascii="Calibri" w:hAnsi="Calibri" w:cs="Arial" w:asciiTheme="minorHAnsi" w:hAnsiTheme="minorHAnsi"/>
          <w:b/>
          <w:b/>
          <w:sz w:val="20"/>
          <w:szCs w:val="20"/>
        </w:rPr>
      </w:pPr>
      <w:r>
        <w:rPr>
          <w:rFonts w:cs="Arial" w:ascii="Calibri" w:hAnsi="Calibri" w:asciiTheme="minorHAnsi" w:hAnsiTheme="minorHAnsi"/>
          <w:b/>
          <w:sz w:val="20"/>
          <w:szCs w:val="20"/>
        </w:rPr>
        <w:t>1. Regole di sicurezza per la tutela del patrimonio informativo di AIEOP</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1.1</w:t>
      </w:r>
      <w:r>
        <w:rPr>
          <w:rFonts w:cs="Arial" w:ascii="Calibri" w:hAnsi="Calibri" w:asciiTheme="minorHAnsi" w:hAnsiTheme="minorHAnsi"/>
          <w:sz w:val="20"/>
          <w:szCs w:val="20"/>
        </w:rPr>
        <w:t xml:space="preserve"> Il FORNITORE si impegna, per tutte le attività inerenti e riconducibili allo svolgimento delle prestazioni contrattuali, ad adottare politiche aziendali - opportunamente formalizzate e divulgate internamente - coerenti con i contenuti della normativa vigente nonché ai contenuti delle presenti Regole di sicurezza tempo per tempo comunicate.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1.2</w:t>
      </w:r>
      <w:r>
        <w:rPr>
          <w:rFonts w:cs="Arial" w:ascii="Calibri" w:hAnsi="Calibri" w:asciiTheme="minorHAnsi" w:hAnsiTheme="minorHAnsi"/>
          <w:sz w:val="20"/>
          <w:szCs w:val="20"/>
        </w:rPr>
        <w:t xml:space="preserve"> Il FORNITORE si impegna a rispettare le policy di sicurezza informatica e le relative misure di sicurezza implementate dal CLIENTE per la protezione ed utilizzo dei dati.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1.3</w:t>
      </w:r>
      <w:r>
        <w:rPr>
          <w:rFonts w:cs="Arial" w:ascii="Calibri" w:hAnsi="Calibri" w:asciiTheme="minorHAnsi" w:hAnsiTheme="minorHAnsi"/>
          <w:sz w:val="20"/>
          <w:szCs w:val="20"/>
        </w:rPr>
        <w:t xml:space="preserve"> Il FORNITORE dà atto e riconosce che i dati delle architetture e delle configurazioni dei sistemi informativi del CLIENTE, delle misure di sicurezza apprestate da quest’ultimo, oltre che – in ogni caso -  i dati relativi alle vulnerabilità eventualmente riscontrate in occasione dell’esecuzione del Servizio (i “Dati”) sono informazioni riservate (anche ai sensi dell’art. 98 del Decreto Legislativo 10 febbraio 2005, n. 30) e che dalla loro diffusione può derivare un pregiudizio grave al CLIENTE fra l’altro, in termini di esposizioni ad attacchi dall’esterno o di riflessi sull’immagine e sulla reputazione delle stesse.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1.4 </w:t>
      </w:r>
      <w:r>
        <w:rPr>
          <w:rFonts w:cs="Arial" w:ascii="Calibri" w:hAnsi="Calibri" w:asciiTheme="minorHAnsi" w:hAnsiTheme="minorHAnsi"/>
          <w:sz w:val="20"/>
          <w:szCs w:val="20"/>
        </w:rPr>
        <w:t>Il FORNITORE è tenuto a garantire il rispetto dei livelli di servizio contrattualmente stabiliti con il CLIENTE (SLA), anche in casi di emergenza o di contesa delle risorse da parte di altri suoi clienti.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1.5 </w:t>
      </w:r>
      <w:r>
        <w:rPr>
          <w:rFonts w:cs="Arial" w:ascii="Calibri" w:hAnsi="Calibri" w:asciiTheme="minorHAnsi" w:hAnsiTheme="minorHAnsi"/>
          <w:sz w:val="20"/>
          <w:szCs w:val="20"/>
        </w:rPr>
        <w:t>Il FORNITORE riconosce la proprietà esclusiva dei dati, del software, della documentazione tecnica e normativa e delle risorse ICT del CLIENTE qualora essi vengano utilizzati per l'erogazione del servizio.</w:t>
      </w:r>
    </w:p>
    <w:p>
      <w:pPr>
        <w:pStyle w:val="Normal"/>
        <w:spacing w:before="288" w:after="288"/>
        <w:jc w:val="both"/>
        <w:rPr>
          <w:rFonts w:ascii="Calibri" w:hAnsi="Calibri" w:cs="Arial" w:asciiTheme="minorHAnsi" w:hAnsiTheme="minorHAnsi"/>
          <w:b/>
          <w:b/>
          <w:sz w:val="20"/>
          <w:szCs w:val="20"/>
        </w:rPr>
      </w:pPr>
      <w:r>
        <w:rPr>
          <w:rFonts w:cs="Arial" w:ascii="Calibri" w:hAnsi="Calibri" w:asciiTheme="minorHAnsi" w:hAnsiTheme="minorHAnsi"/>
          <w:b/>
          <w:sz w:val="20"/>
          <w:szCs w:val="20"/>
        </w:rPr>
        <w:t>2. Referenti per la sicurezza</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2.1</w:t>
      </w:r>
      <w:r>
        <w:rPr>
          <w:rFonts w:cs="Arial" w:ascii="Calibri" w:hAnsi="Calibri" w:asciiTheme="minorHAnsi" w:hAnsiTheme="minorHAnsi"/>
          <w:sz w:val="20"/>
          <w:szCs w:val="20"/>
        </w:rPr>
        <w:t xml:space="preserve"> Il FORNITORE e il CLIENTE devono comunicarsi reciprocamente i nominativi dei referenti cui è affidata la gestione delle attività contrattuali ed il collegamento tra le rispettive strutture aziendali deputate alla gestione di tutti gli aspetti di sicurezza delle informazioni. </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2.2</w:t>
      </w:r>
      <w:r>
        <w:rPr>
          <w:rFonts w:cs="Arial" w:ascii="Calibri" w:hAnsi="Calibri" w:asciiTheme="minorHAnsi" w:hAnsiTheme="minorHAnsi"/>
          <w:sz w:val="20"/>
          <w:szCs w:val="20"/>
        </w:rPr>
        <w:t xml:space="preserve"> Salva diversa espressa indicazione della parte che provvede alla nomina, il referente nominato per la gestione delle attività contrattuali è altresì responsabile del collegamento tra le strutture aziendali deputate alla gestione di tutti gli aspetti di sicurezza delle informazioni. Il CLIENTE e il FORNITORE si impegnano a comunicarsi tempestivamente ogni variazione in proposito.</w:t>
      </w:r>
    </w:p>
    <w:p>
      <w:pPr>
        <w:pStyle w:val="Normal"/>
        <w:spacing w:before="288" w:after="288"/>
        <w:jc w:val="both"/>
        <w:rPr>
          <w:rFonts w:ascii="Calibri" w:hAnsi="Calibri" w:cs="Arial" w:asciiTheme="minorHAnsi" w:hAnsiTheme="minorHAnsi"/>
          <w:b/>
          <w:b/>
          <w:sz w:val="20"/>
          <w:szCs w:val="20"/>
        </w:rPr>
      </w:pPr>
      <w:r>
        <w:rPr>
          <w:rFonts w:cs="Arial" w:ascii="Calibri" w:hAnsi="Calibri" w:asciiTheme="minorHAnsi" w:hAnsiTheme="minorHAnsi"/>
          <w:b/>
          <w:sz w:val="20"/>
          <w:szCs w:val="20"/>
        </w:rPr>
        <w:t>3. Personale del FORNITORE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3.1</w:t>
      </w:r>
      <w:r>
        <w:rPr>
          <w:rFonts w:cs="Arial" w:ascii="Calibri" w:hAnsi="Calibri" w:asciiTheme="minorHAnsi" w:hAnsiTheme="minorHAnsi"/>
          <w:sz w:val="20"/>
          <w:szCs w:val="20"/>
        </w:rPr>
        <w:t xml:space="preserve"> In relazione al personale comunque coinvolto nell’esecuzione delle obbligazioni contrattuali (ivi compresi collaboratori a qualsiasi titolo), il FORNITORE si impegna, anche ai fini della sicurezza delle informazioni: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a garantire che lo stesso abbia qualifiche adeguate per i compiti svolti;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 xml:space="preserve">curare che tale personale riceva la necessaria formazione al riguardo e adeguate informazioni sulle regole di cui al precedente punto 1; </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ad attuare, nell’assegnazione delle mansioni, le opportune politiche di separazione dei compiti (</w:t>
      </w:r>
      <w:r>
        <w:rPr>
          <w:rFonts w:cs="Arial" w:ascii="Calibri" w:hAnsi="Calibri" w:asciiTheme="minorHAnsi" w:hAnsiTheme="minorHAnsi"/>
          <w:i/>
          <w:sz w:val="20"/>
          <w:szCs w:val="20"/>
        </w:rPr>
        <w:t>segregation of duties</w:t>
      </w:r>
      <w:r>
        <w:rPr>
          <w:rFonts w:cs="Arial" w:ascii="Calibri" w:hAnsi="Calibri" w:asciiTheme="minorHAnsi" w:hAnsiTheme="minorHAnsi"/>
          <w:sz w:val="20"/>
          <w:szCs w:val="20"/>
        </w:rPr>
        <w:t>);</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(d) ad attribuire compiti e responsabilità al proprio personale al fine di presidiare le principali minacce interne ed esterne, compreso internet;</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(e) nei casi di cessazione del rapporto di lavoro o di variazione di incarico, a garantire – tramite processi formalizzati e sicuri - la revoca immediata delle credenziali concesse al proprio personale e la restituzione degli strumenti assegnati per lo svolgimento delle prestazioni contrattualmente previste, così come di eventuali badge, chiavi e altri strumenti di accesso, identificazione o autenticazione.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b/>
          <w:sz w:val="20"/>
          <w:szCs w:val="20"/>
        </w:rPr>
        <w:t>3.2</w:t>
      </w:r>
      <w:r>
        <w:rPr>
          <w:rFonts w:cs="Arial" w:ascii="Calibri" w:hAnsi="Calibri" w:asciiTheme="minorHAnsi" w:hAnsiTheme="minorHAnsi"/>
          <w:sz w:val="20"/>
          <w:szCs w:val="20"/>
        </w:rPr>
        <w:t xml:space="preserve"> ll FORNITORE si impegna a collaborare con il CLIENTE al fine di assicurare l’adeguamento ai ruoli e alle procedure definite all’interno del CLIENTE ai fini dell’esecuzione del processo di analisi dei rischi e per il sistema di gestione dei dati.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b/>
          <w:sz w:val="20"/>
          <w:szCs w:val="20"/>
        </w:rPr>
        <w:t>3.3</w:t>
      </w:r>
      <w:r>
        <w:rPr>
          <w:rFonts w:cs="Arial" w:ascii="Calibri" w:hAnsi="Calibri" w:asciiTheme="minorHAnsi" w:hAnsiTheme="minorHAnsi"/>
          <w:sz w:val="20"/>
          <w:szCs w:val="20"/>
        </w:rPr>
        <w:t xml:space="preserve"> Il FORNITORE si impegna a tenere (i) una lista dei luoghi in cui sono ospitati i data center utilizzati dal FORNITORE per la fornitura del Servizio e (ii) un documento indicante il numero di addetti con accesso ai dati (con particolare riferimento a dati riservati e componenti critiche) del CLIENTE, nonché ad aggiornare regolarmente tale documentazione, consegnandola al CLIENTE e/o alle Società Interessate, previa richiesta per iscritto da parte del CLIENTE e/o di ciascuna delle Società Interessate.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3.4 </w:t>
      </w:r>
      <w:r>
        <w:rPr>
          <w:rFonts w:cs="Arial" w:ascii="Calibri" w:hAnsi="Calibri" w:asciiTheme="minorHAnsi" w:hAnsiTheme="minorHAnsi"/>
          <w:sz w:val="20"/>
          <w:szCs w:val="20"/>
        </w:rPr>
        <w:t>Il FORNITORE si impegna a mantenere i dati del CLIENTE presso data center collocati in Italia e/o Unione Europea. Nel caso in cui il FORNITORE decida di spostare le risorse dedicate al CLIENTE, il FORNITORE deve preventivamente comunicare al CLIENTE le localizzazioni dei data center previste e potrà effettuare lo spostamento solo previa autorizzazione del CLIENTE e sulla base delle relative istruzioni, adottando le adeguate garanzie secondo la vigente normativa europea e nazionale di riferimento.</w:t>
      </w:r>
    </w:p>
    <w:p>
      <w:pPr>
        <w:pStyle w:val="Normal"/>
        <w:spacing w:before="288" w:after="288"/>
        <w:ind w:left="360" w:hanging="360"/>
        <w:jc w:val="both"/>
        <w:rPr>
          <w:rFonts w:ascii="Calibri" w:hAnsi="Calibri" w:cs="Arial" w:asciiTheme="minorHAnsi" w:hAnsiTheme="minorHAnsi"/>
          <w:b/>
          <w:b/>
          <w:sz w:val="20"/>
          <w:szCs w:val="20"/>
        </w:rPr>
      </w:pPr>
      <w:r>
        <w:rPr>
          <w:rFonts w:cs="Arial" w:ascii="Calibri" w:hAnsi="Calibri" w:asciiTheme="minorHAnsi" w:hAnsiTheme="minorHAnsi"/>
          <w:b/>
          <w:sz w:val="20"/>
          <w:szCs w:val="20"/>
        </w:rPr>
        <w:t>4. Sicurezza fisica e logica del FORNITORE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4.1</w:t>
      </w:r>
      <w:r>
        <w:rPr>
          <w:rFonts w:cs="Arial" w:ascii="Calibri" w:hAnsi="Calibri" w:asciiTheme="minorHAnsi" w:hAnsiTheme="minorHAnsi"/>
          <w:sz w:val="20"/>
          <w:szCs w:val="20"/>
        </w:rPr>
        <w:t xml:space="preserve"> Il FORNITORE - fermo quanto precede - si impegna a utilizzare per tutti i propri servizi aziendali, inerenti o riconducibili allo svolgimento delle prestazioni contrattuali, misure di sicurezza per la gestione delle credenziali e dei privilegi d’accesso conformi alle norme di legge e che prevedano:</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utenze univoche e personali;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gestione sicura delle credenziali di accesso con scadenza periodica e modifica obbligatoria al primo accesso, garanzia di non riutilizzabilità nel tempo e controlli automatici di robustezza;</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criteri e politiche di assegnazione dei privilegi d’accesso che garantiscano privilegi negati se non esplicitamente concessi e garanzia del criterio di minimo privilegio concesso;</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(d)</w:t>
        <w:tab/>
        <w:t>criteri e politiche di distinzione dei privilegi d’accesso che distinguano le autorizzazioni quantomeno per accesso ai dati di produzione, accesso e manutenzione dei sistemi, del software e della rete;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(e)</w:t>
        <w:tab/>
        <w:t>strumenti e policy di custodia dei supporti e dati ricevuti che prevengano la perdita e l’accesso anche accidentali da parte di terzi non autorizzati.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4.2 </w:t>
      </w:r>
      <w:r>
        <w:rPr>
          <w:rFonts w:cs="Arial" w:ascii="Calibri" w:hAnsi="Calibri" w:asciiTheme="minorHAnsi" w:hAnsiTheme="minorHAnsi"/>
          <w:sz w:val="20"/>
          <w:szCs w:val="20"/>
        </w:rPr>
        <w:t>Il FORNITORE garantisce l'applicazione di misure di sicurezza fisica (chiusura dei locali, “clean desk policy”, custodia dei supporti consegnati, ecc.) nelle location critiche inerenti o riconducibili al servizio fornito (e nei collegamenti da e verso tali sedi). Ove il servizio sia reso nei locali del CLIENTE, il FORNITORE si impegna a far uso corretto delle apparecchiature ivi presenti e a segnalare eventuali carenze/malfunzionamenti.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4.3</w:t>
      </w:r>
      <w:r>
        <w:rPr>
          <w:rFonts w:cs="Arial" w:ascii="Calibri" w:hAnsi="Calibri" w:asciiTheme="minorHAnsi" w:hAnsiTheme="minorHAnsi"/>
          <w:sz w:val="20"/>
          <w:szCs w:val="20"/>
        </w:rPr>
        <w:t xml:space="preserve"> La distruzione di dati/supporti al termine delle attività contrattualmente previste sarà effettuata tramite procedure e standard che rispettino i requisiti di sicurezza del servizio oggetto del contratto.</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4.4</w:t>
      </w:r>
      <w:r>
        <w:rPr>
          <w:rFonts w:cs="Arial" w:ascii="Calibri" w:hAnsi="Calibri" w:asciiTheme="minorHAnsi" w:hAnsiTheme="minorHAnsi"/>
          <w:sz w:val="20"/>
          <w:szCs w:val="20"/>
        </w:rPr>
        <w:t xml:space="preserve"> Il FORNITORE si impegna ad implementare adeguati meccanismi di isolamento dei dati gestiti per conto del CLIENTE rispetto ai dati gestiti per conto di propri altri clienti, a garanzia della loro riservatezza, disponibilità ed integrità.</w:t>
      </w:r>
    </w:p>
    <w:p>
      <w:pPr>
        <w:pStyle w:val="Normal"/>
        <w:spacing w:before="288" w:after="288"/>
        <w:jc w:val="both"/>
        <w:rPr>
          <w:rFonts w:ascii="Calibri" w:hAnsi="Calibri" w:cs="Arial" w:asciiTheme="minorHAnsi" w:hAnsiTheme="minorHAnsi"/>
          <w:b/>
          <w:b/>
          <w:sz w:val="20"/>
          <w:szCs w:val="20"/>
        </w:rPr>
      </w:pPr>
      <w:r>
        <w:rPr>
          <w:rFonts w:cs="Arial" w:ascii="Calibri" w:hAnsi="Calibri" w:asciiTheme="minorHAnsi" w:hAnsiTheme="minorHAnsi"/>
          <w:b/>
          <w:sz w:val="20"/>
          <w:szCs w:val="20"/>
        </w:rPr>
        <w:t>5. Uso sicuro dei sistemi del FORNITORE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5.1 </w:t>
      </w:r>
      <w:r>
        <w:rPr>
          <w:rFonts w:cs="Arial" w:ascii="Calibri" w:hAnsi="Calibri" w:asciiTheme="minorHAnsi" w:hAnsiTheme="minorHAnsi"/>
          <w:sz w:val="20"/>
          <w:szCs w:val="20"/>
        </w:rPr>
        <w:t>Fermi gli obblighi previsti dalla normativa applicabile in materia di protezione dei dati personali in caso di violazioni della sicurezza (</w:t>
      </w:r>
      <w:r>
        <w:rPr>
          <w:rFonts w:cs="Arial" w:ascii="Calibri" w:hAnsi="Calibri" w:asciiTheme="minorHAnsi" w:hAnsiTheme="minorHAnsi"/>
          <w:i/>
          <w:sz w:val="20"/>
          <w:szCs w:val="20"/>
        </w:rPr>
        <w:t>data breach</w:t>
      </w:r>
      <w:r>
        <w:rPr>
          <w:rFonts w:cs="Arial" w:ascii="Calibri" w:hAnsi="Calibri" w:asciiTheme="minorHAnsi" w:hAnsiTheme="minorHAnsi"/>
          <w:sz w:val="20"/>
          <w:szCs w:val="20"/>
        </w:rPr>
        <w:t>), il FORNITORE si impegna, a garantire la gestione delle attività sottoelencate: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r>
      <w:r>
        <w:rPr>
          <w:rFonts w:cs="Arial" w:ascii="Calibri" w:hAnsi="Calibri" w:asciiTheme="minorHAnsi" w:hAnsiTheme="minorHAnsi"/>
          <w:b/>
          <w:sz w:val="20"/>
          <w:szCs w:val="20"/>
        </w:rPr>
        <w:tab/>
      </w:r>
      <w:r>
        <w:rPr>
          <w:rFonts w:cs="Arial" w:ascii="Calibri" w:hAnsi="Calibri" w:asciiTheme="minorHAnsi" w:hAnsiTheme="minorHAnsi"/>
          <w:sz w:val="20"/>
          <w:szCs w:val="20"/>
        </w:rPr>
        <w:t>patch management di sicurezza eseguito con processi di aggiornamento controllati e tempi adeguati alla gravità delle vulnerabilità, non superiori a sei mesi (secondo le previsioni di legge) ed inferiori a 5 giorni per i casi più gravi;</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r>
      <w:r>
        <w:rPr>
          <w:rFonts w:cs="Arial" w:ascii="Calibri" w:hAnsi="Calibri" w:asciiTheme="minorHAnsi" w:hAnsiTheme="minorHAnsi"/>
          <w:b/>
          <w:sz w:val="20"/>
          <w:szCs w:val="20"/>
        </w:rPr>
        <w:tab/>
      </w:r>
      <w:r>
        <w:rPr>
          <w:rFonts w:cs="Arial" w:ascii="Calibri" w:hAnsi="Calibri" w:asciiTheme="minorHAnsi" w:hAnsiTheme="minorHAnsi"/>
          <w:sz w:val="20"/>
          <w:szCs w:val="20"/>
        </w:rPr>
        <w:t>antivirus management eseguito con aggiornamento periodico conforme alle prescrizioni di corretto utilizzo del sistema antivirus adottato;</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(d)</w:t>
      </w:r>
      <w:r>
        <w:rPr>
          <w:rFonts w:cs="Arial" w:ascii="Calibri" w:hAnsi="Calibri" w:asciiTheme="minorHAnsi" w:hAnsiTheme="minorHAnsi"/>
          <w:b/>
          <w:sz w:val="20"/>
          <w:szCs w:val="20"/>
        </w:rPr>
        <w:tab/>
      </w:r>
      <w:r>
        <w:rPr>
          <w:rFonts w:cs="Arial" w:ascii="Calibri" w:hAnsi="Calibri" w:asciiTheme="minorHAnsi" w:hAnsiTheme="minorHAnsi"/>
          <w:sz w:val="20"/>
          <w:szCs w:val="20"/>
        </w:rPr>
        <w:t>change management: attuazione di processi autorizzativi per l’esecuzione dei cambiamenti</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(e)</w:t>
      </w:r>
      <w:r>
        <w:rPr>
          <w:rFonts w:cs="Arial" w:ascii="Calibri" w:hAnsi="Calibri" w:asciiTheme="minorHAnsi" w:hAnsiTheme="minorHAnsi"/>
          <w:b/>
          <w:sz w:val="20"/>
          <w:szCs w:val="20"/>
        </w:rPr>
        <w:tab/>
      </w:r>
      <w:r>
        <w:rPr>
          <w:rFonts w:cs="Arial" w:ascii="Calibri" w:hAnsi="Calibri" w:asciiTheme="minorHAnsi" w:hAnsiTheme="minorHAnsi"/>
          <w:sz w:val="20"/>
          <w:szCs w:val="20"/>
        </w:rPr>
        <w:t>dismissione controllata degli asset con l’adozione di sistemi di cancellazione sicura delle informazioni dai supporti di memorizzazione.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b/>
          <w:sz w:val="20"/>
          <w:szCs w:val="20"/>
        </w:rPr>
        <w:t>6 Back up dei dati</w:t>
      </w:r>
      <w:r>
        <w:rPr>
          <w:rFonts w:cs="Arial" w:ascii="Calibri" w:hAnsi="Calibri" w:asciiTheme="minorHAnsi" w:hAnsiTheme="minorHAnsi"/>
          <w:sz w:val="20"/>
          <w:szCs w:val="20"/>
        </w:rPr>
        <w:t xml:space="preserve"> </w:t>
      </w:r>
    </w:p>
    <w:p>
      <w:pPr>
        <w:pStyle w:val="Normal"/>
        <w:tabs>
          <w:tab w:val="left" w:pos="0" w:leader="none"/>
        </w:tabs>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6.1</w:t>
      </w:r>
      <w:r>
        <w:rPr>
          <w:rFonts w:cs="Arial" w:ascii="Calibri" w:hAnsi="Calibri" w:asciiTheme="minorHAnsi" w:hAnsiTheme="minorHAnsi"/>
          <w:sz w:val="20"/>
          <w:szCs w:val="20"/>
        </w:rPr>
        <w:t xml:space="preserve"> Il FORNITORE si impegna ad eseguire il backup periodico dei dati inerenti le attività contrattualmente previste (ivi compresi i dati di configurazione degli apparati e dei sistemi), con modalità tali da garantire: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la conservazione delle copie di backup in un luogo sicuro e a prova di incendi e di intrusione,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il recovery dalle copie di backup e l'esecuzione di test di recovery dedicati con cadenza prefissata</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la separazione dei dati degli utenti dai dati di configurazione soggetti a backup.</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6.2</w:t>
      </w:r>
      <w:r>
        <w:rPr>
          <w:rFonts w:cs="Arial" w:ascii="Calibri" w:hAnsi="Calibri" w:asciiTheme="minorHAnsi" w:hAnsiTheme="minorHAnsi"/>
          <w:sz w:val="20"/>
          <w:szCs w:val="20"/>
        </w:rPr>
        <w:t xml:space="preserve"> Il CLIENTE avrà il diritto di accedere alle copie di back-up effettuate dal FORNITORE, facendone preventiva richiesta per iscritto.</w:t>
      </w:r>
    </w:p>
    <w:p>
      <w:pPr>
        <w:pStyle w:val="Normal"/>
        <w:spacing w:before="288" w:after="288"/>
        <w:ind w:left="360" w:hanging="360"/>
        <w:jc w:val="both"/>
        <w:rPr>
          <w:rFonts w:ascii="Calibri" w:hAnsi="Calibri" w:cs="Arial" w:asciiTheme="minorHAnsi" w:hAnsiTheme="minorHAnsi"/>
          <w:b/>
          <w:b/>
          <w:sz w:val="20"/>
          <w:szCs w:val="20"/>
        </w:rPr>
      </w:pPr>
      <w:r>
        <w:rPr>
          <w:rFonts w:cs="Arial" w:ascii="Calibri" w:hAnsi="Calibri" w:asciiTheme="minorHAnsi" w:hAnsiTheme="minorHAnsi"/>
          <w:b/>
          <w:sz w:val="20"/>
          <w:szCs w:val="20"/>
        </w:rPr>
        <w:t>7. Tracciatura</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 xml:space="preserve">7.1 </w:t>
      </w:r>
      <w:r>
        <w:rPr>
          <w:rFonts w:cs="Arial" w:ascii="Calibri" w:hAnsi="Calibri" w:asciiTheme="minorHAnsi" w:hAnsiTheme="minorHAnsi"/>
          <w:sz w:val="20"/>
          <w:szCs w:val="20"/>
        </w:rPr>
        <w:t>Il FORNITORE si impegna ad eseguire in maniera sistematica e formalizzata, nel rispetto della legge: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la tracciatura applicativa per i software inerenti o riconducibili allo svolgimento delle prestazioni contrattuali;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la tracciatura per i sistemi e apparati inerenti o riconducibili al servizio oggetto del contratto.</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 xml:space="preserve">Gli "event records" generati dai sistemi di autenticazione dovranno contenere riferimenti allo "username" utilizzato, alla data e all'ora dell'evento ("timestamp"), una descrizione dell'evento (ad es. sistema di elaborazione o software utilizzato; se si tratti di un evento di log-in, di log-out, o di una condizione di errore; quale linea di comunicazione o dispositivo terminale sia stato utilizzato), l’identificazione del sistema sul quale lo “username” ha operato. </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Qualora i dati soggetti a tracciamento si riferiscano ad operazioni bancarie che risultano trattate e contemplate da provvedimenti adottati dall’Autorità Garante per la protezione dei dati personali in materia di circolazione delle informazioni e tracciamento delle operazioni bancarie, il FORNITORE dovrà tracciare anche i dati seguenti:</w:t>
      </w:r>
    </w:p>
    <w:p>
      <w:pPr>
        <w:pStyle w:val="Normal"/>
        <w:tabs>
          <w:tab w:val="left" w:pos="567" w:leader="none"/>
        </w:tabs>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w:t>
        <w:tab/>
        <w:t xml:space="preserve">il codice del cliente interessato dall’operazione; </w:t>
      </w:r>
    </w:p>
    <w:p>
      <w:pPr>
        <w:pStyle w:val="Normal"/>
        <w:tabs>
          <w:tab w:val="left" w:pos="567" w:leader="none"/>
        </w:tabs>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w:t>
        <w:tab/>
        <w:t>la tipologia di rapporto contrattuale del cliente.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7.2</w:t>
      </w:r>
      <w:r>
        <w:rPr>
          <w:rFonts w:cs="Arial" w:ascii="Calibri" w:hAnsi="Calibri" w:asciiTheme="minorHAnsi" w:hAnsiTheme="minorHAnsi"/>
          <w:sz w:val="20"/>
          <w:szCs w:val="20"/>
        </w:rPr>
        <w:t xml:space="preserve"> I risultati delle tracciature dovranno essere conservati con modalità sicure e auditabili, che garantiscano leggibilità, integrità e attendibilità ed esibiti a richiesta.</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7.3</w:t>
      </w:r>
      <w:r>
        <w:rPr>
          <w:rFonts w:cs="Arial" w:ascii="Calibri" w:hAnsi="Calibri" w:asciiTheme="minorHAnsi" w:hAnsiTheme="minorHAnsi"/>
          <w:sz w:val="20"/>
          <w:szCs w:val="20"/>
        </w:rPr>
        <w:t xml:space="preserve"> Il FORNITORE assicura la piena ricostruzione degli accessi e delle modifiche effettuate sui dati, anche per finalità ispettive.</w:t>
      </w:r>
    </w:p>
    <w:p>
      <w:pPr>
        <w:pStyle w:val="Normal"/>
        <w:spacing w:before="288" w:after="288"/>
        <w:ind w:left="360" w:hanging="360"/>
        <w:jc w:val="both"/>
        <w:rPr>
          <w:rFonts w:ascii="Calibri" w:hAnsi="Calibri" w:cs="Arial" w:asciiTheme="minorHAnsi" w:hAnsiTheme="minorHAnsi"/>
          <w:b/>
          <w:b/>
          <w:sz w:val="20"/>
          <w:szCs w:val="20"/>
        </w:rPr>
      </w:pPr>
      <w:r>
        <w:rPr>
          <w:rFonts w:cs="Arial" w:ascii="Calibri" w:hAnsi="Calibri" w:asciiTheme="minorHAnsi" w:hAnsiTheme="minorHAnsi"/>
          <w:b/>
          <w:sz w:val="20"/>
          <w:szCs w:val="20"/>
        </w:rPr>
        <w:t>8. Sviluppo e manutenzione software.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8.1</w:t>
      </w:r>
      <w:r>
        <w:rPr>
          <w:rFonts w:cs="Arial" w:ascii="Calibri" w:hAnsi="Calibri" w:asciiTheme="minorHAnsi" w:hAnsiTheme="minorHAnsi"/>
          <w:sz w:val="20"/>
          <w:szCs w:val="20"/>
        </w:rPr>
        <w:t xml:space="preserve"> Nel caso di attività di sviluppo o manutenzione software o che comunque comportino la scrittura/modifica di uno o più software utilizzati dal CLIENTE, il FORNITORE si impegna a utilizzare tecniche di sviluppo sicuro del software, che prevedano almeno l'implementazione della validazione dei dati in ingresso, controlli di validazione dell'elaborazione interna, controlli di validità dei messaggi e dell'output, l'utilizzo di </w:t>
      </w:r>
      <w:r>
        <w:rPr>
          <w:rFonts w:cs="Arial" w:ascii="Calibri" w:hAnsi="Calibri" w:asciiTheme="minorHAnsi" w:hAnsiTheme="minorHAnsi"/>
          <w:i/>
          <w:sz w:val="20"/>
          <w:szCs w:val="20"/>
        </w:rPr>
        <w:t>best practice</w:t>
      </w:r>
      <w:r>
        <w:rPr>
          <w:rFonts w:cs="Arial" w:ascii="Calibri" w:hAnsi="Calibri" w:asciiTheme="minorHAnsi" w:hAnsiTheme="minorHAnsi"/>
          <w:sz w:val="20"/>
          <w:szCs w:val="20"/>
        </w:rPr>
        <w:t xml:space="preserve"> riferite allo specifico linguaggio di programmazione o ambiente che si utilizza per lo sviluppo. </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In particolare, con riferimento specifico allo sviluppo di applicazioni web, per tutta la durata del contratto il fornitore si impegna a rispettare le linee guida di codifica sicura contenute nel Progetto Open Web Application Security (OWASP) - Guida allo Sviluppo e Guida ai Test tempo per tempo in vigore.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sz w:val="20"/>
          <w:szCs w:val="20"/>
        </w:rPr>
        <w:t>I software che prevedano o comportino anche il trattamento di dati personali dovranno essere progettati e sviluppati nel rispetto dei principi di privacy-by-design e privacy-by-default, garantendo in particolare che siano raccolti, elaborati e resi accessibili solamente i dati personali che siano strettamente necessari all’esecuzione delle funzionalità del software.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8.2</w:t>
      </w:r>
      <w:r>
        <w:rPr>
          <w:rFonts w:cs="Arial" w:ascii="Calibri" w:hAnsi="Calibri" w:asciiTheme="minorHAnsi" w:hAnsiTheme="minorHAnsi"/>
          <w:sz w:val="20"/>
          <w:szCs w:val="20"/>
        </w:rPr>
        <w:t xml:space="preserve"> Nei limiti in cui le attività di cui sopra avvengano su ambienti gestiti dal FORNITORE, quest’ultimo è tenuto ad assicurare:</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la separazione logica tra l’ambiente di sviluppo e gli altri ambienti;</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che gli ambienti di sviluppo, test e produzione siano dedicati al CLIENTE e separati, almeno logicamente, dagli ambienti di altri clienti del FORNITORE, a garanzia della loro riservatezza ed integrità.</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b/>
          <w:sz w:val="20"/>
          <w:szCs w:val="20"/>
        </w:rPr>
        <w:t>8.3</w:t>
      </w:r>
      <w:r>
        <w:rPr>
          <w:rFonts w:cs="Arial" w:ascii="Calibri" w:hAnsi="Calibri" w:asciiTheme="minorHAnsi" w:hAnsiTheme="minorHAnsi"/>
          <w:sz w:val="20"/>
          <w:szCs w:val="20"/>
        </w:rPr>
        <w:t xml:space="preserve"> Nell’attività di test il FORNITORE si impegna a:</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eseguire le attività di test in maniera tale da garantire la loro oggettività, verificabilità e ripetibilità;</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non utilizzare i dati di produzione di proprietà del CLIENTE per le attività di test;</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 xml:space="preserve">realizzare una completa documentazione dei test effettuati e delle soluzioni non adottate. </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8.4</w:t>
      </w:r>
      <w:r>
        <w:rPr>
          <w:rFonts w:cs="Arial" w:ascii="Calibri" w:hAnsi="Calibri" w:asciiTheme="minorHAnsi" w:hAnsiTheme="minorHAnsi"/>
          <w:sz w:val="20"/>
          <w:szCs w:val="20"/>
        </w:rPr>
        <w:t xml:space="preserve"> In ogni caso:</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l’eventuale inserimento nel software prodotto di funzionalità non documentate sarà considerato un grave inadempimento ai fini di cui all’art. 1456 cod.civ.;</w:t>
      </w:r>
    </w:p>
    <w:p>
      <w:pPr>
        <w:pStyle w:val="Normal"/>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l’accesso a dati di produzione, o comunque a dati personali, va contenuto ai casi di effettiva e reale necessità (ad es.: manutenzione “correttiva in emergenza”), limitato al tempo strettamente necessario e comunque specificamente e preventivamente concordato.</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9 Connessione ai sistemi gestiti dal CLIENTE</w:t>
      </w:r>
    </w:p>
    <w:p>
      <w:pPr>
        <w:pStyle w:val="Normal"/>
        <w:tabs>
          <w:tab w:val="left" w:pos="0" w:leader="none"/>
        </w:tabs>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9.1</w:t>
      </w:r>
      <w:r>
        <w:rPr>
          <w:rFonts w:cs="Arial" w:ascii="Calibri" w:hAnsi="Calibri" w:asciiTheme="minorHAnsi" w:hAnsiTheme="minorHAnsi"/>
          <w:sz w:val="20"/>
          <w:szCs w:val="20"/>
        </w:rPr>
        <w:t xml:space="preserve"> Nel caso di attività che richiedano la connessione di apparecchiature del FORNITORE alle reti e/o a sistemi gestiti dal CLIENTE, il FORNITORE (fermo in particolare il rispetto, in relazione a tali apparecchiature, di quanto previsto ai precedenti punti 1, 4 e 5) si impegna a: </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 xml:space="preserve">utilizzare (ove predisposte dal CLIENTE) unicamente reti d’accesso dedicate o comunque separate rispetto alla rete interna gestita dal CLIENTE; </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utilizzare tale connessione, come pure gli ID, le password ed in generale le "credenziali d'accesso" fornite, unicamente al fine dell'esecuzione delle attività strettamente inerenti alle attività contrattuali;</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utilizzare, ove predisposte dal CLIENTE, connessioni sicure (anche a mezzo di VPN o strumenti di crittografia) per le connessioni effettuate tramite reti aperte (internet, wifi, ecc.).</w:t>
      </w:r>
    </w:p>
    <w:p>
      <w:pPr>
        <w:pStyle w:val="Normal"/>
        <w:tabs>
          <w:tab w:val="left" w:pos="0" w:leader="none"/>
        </w:tabs>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9.2</w:t>
      </w:r>
      <w:r>
        <w:rPr>
          <w:rFonts w:cs="Arial" w:ascii="Calibri" w:hAnsi="Calibri" w:asciiTheme="minorHAnsi" w:hAnsiTheme="minorHAnsi"/>
          <w:sz w:val="20"/>
          <w:szCs w:val="20"/>
        </w:rPr>
        <w:t xml:space="preserve"> Il FORNITORE prende atto ed accetta che il CLIENTE ha facoltà di monitorare gli accessi e l’utilizzo fatto della connessione, anche per ragioni di sicurezza o di regolarità e continuità operativa, nonché di chiedere informazioni sulle caratteristiche tecniche di tali apparecchiature.</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10. Credenziali o strumenti del CLIENTE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10.1</w:t>
      </w:r>
      <w:r>
        <w:rPr>
          <w:rFonts w:cs="Arial" w:ascii="Calibri" w:hAnsi="Calibri" w:asciiTheme="minorHAnsi" w:hAnsiTheme="minorHAnsi"/>
          <w:sz w:val="20"/>
          <w:szCs w:val="20"/>
        </w:rPr>
        <w:t xml:space="preserve"> In tutti i casi in cui il FORNITORE sia stato dotato di credenziali o di strumenti informatici o di identificazione e di accesso (es. badge, chiavi, smart card, certificati digitali, ecc.) necessari per l’accesso ai sistemi del CLIENTE stesso, il FORNITORE – nel rispetto delle normative vigenti - deve: </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garantire la capacità e affidabilità del soggetto cui è affidato l’incarico per il quale è stata richiesta l’assegnazione delle credenziali/strumenti;</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curare che tali credenziali e strumenti siano custoditi con la massima cura e non siano in alcun modo resi disponibili a terzi e siano utilizzati solo per lo svolgimento delle prestazioni contrattualmente previste;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curare che non ne siano fatte copie, salvo ove espressamente autorizzate dal CLIENTE;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(d)</w:t>
        <w:tab/>
        <w:t>assicurare che delle credenziali e strumenti sia fatto uso esclusivamente da parte dei soggetti cui sono stati assegnati; in tutti i casi in cui – in conformità alle regole vigenti – venissero effettuati cambi a riguardo, dovrà essere sottoscritto un documento che attesti tale cambiamento e l’identità del nuovo assegnatario;</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(e)</w:t>
        <w:tab/>
        <w:t>segnalare tempestivamente al CLIENTE l’eventuale perdita di controllo (anche momentanea) delle credenziali e/ degli strumenti, così come ogni possibile violazione delle norme di cui sopra;</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(f)</w:t>
        <w:tab/>
        <w:t>segnalare al CLIENTE ogni altro evento (ad es. cessazione del rapporto di lavoro; modifica delle mansioni) che determini il venir meno della necessità di disporre di tali credenziali o strumenti.</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11.  Incident Management</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11.1</w:t>
      </w:r>
      <w:r>
        <w:rPr>
          <w:rFonts w:cs="Arial" w:ascii="Calibri" w:hAnsi="Calibri" w:asciiTheme="minorHAnsi" w:hAnsiTheme="minorHAnsi"/>
          <w:sz w:val="20"/>
          <w:szCs w:val="20"/>
        </w:rPr>
        <w:t xml:space="preserve"> Il FORNITORE deve: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(a)</w:t>
        <w:tab/>
        <w:t>stabilire le procedure che riguardano l’investigazione e la segnalazione di tutti gli incidenti di sicurezza delle informazioni (investigazione, escalation, azioni e i provvedimenti presi per prevenire la ripetizione dell'incidente;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(b)</w:t>
        <w:tab/>
        <w:t>avere una procedura che assicuri che gli incidenti di Sicurezza dell'Informazione siano gestiti correttamente, senza alcun costo aggiuntivo per il CLIENTE, con tempistiche definite all'interno dei Service Level Agreement;</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(c)</w:t>
        <w:tab/>
        <w:t>dare piena disponibilità al CLIENTE per la ricerca e per le azioni da intraprendere a seguito degli incidenti di Sicurezza dell'Informazione che coinvolgono il CLIENTE;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(d)</w:t>
        <w:tab/>
        <w:t>informare il CLIENTE di ogni possesso non autorizzato, divulgazione, utilizzo o conoscenza, o tentativo di ciò, di informazioni del CLIENTE e qualunque violazione della Sicurezza sui sistemi, sulla rete di telecomunicazioni o LAN che contengono, elaborano o trasmettono informazioni confidenziali;</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(e)</w:t>
        <w:tab/>
        <w:t>assicurare che i log di servizio siano regolarmente e efficacemente ispezionati per gli incidenti di Sicurezza dell'Informazione;</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(f)</w:t>
        <w:tab/>
        <w:t>informare il CLIENTE di ogni cambiamento all'ambiente del FORNITORE che potrebbe alterare significativamente il livello di sicurezza del servizio;</w:t>
      </w:r>
    </w:p>
    <w:p>
      <w:pPr>
        <w:pStyle w:val="Normal"/>
        <w:tabs>
          <w:tab w:val="left" w:pos="360" w:leader="none"/>
        </w:tabs>
        <w:spacing w:before="288" w:after="288"/>
        <w:ind w:left="360" w:hanging="360"/>
        <w:jc w:val="both"/>
        <w:rPr>
          <w:rFonts w:ascii="Calibri" w:hAnsi="Calibri" w:cs="Arial" w:asciiTheme="minorHAnsi" w:hAnsiTheme="minorHAnsi"/>
          <w:sz w:val="20"/>
          <w:szCs w:val="20"/>
        </w:rPr>
      </w:pPr>
      <w:r>
        <w:rPr>
          <w:rFonts w:cs="Arial" w:ascii="Calibri" w:hAnsi="Calibri" w:asciiTheme="minorHAnsi" w:hAnsiTheme="minorHAnsi"/>
          <w:sz w:val="20"/>
          <w:szCs w:val="20"/>
        </w:rPr>
        <w:t>(g)</w:t>
        <w:tab/>
        <w:t>informare immediatamente il CLIENTE di qualunque compromissione avvenuta o sospetta dell’information asset del CLIENTE o violazione del contratto.</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12 BCM</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b/>
          <w:sz w:val="20"/>
          <w:lang w:val="it-IT"/>
        </w:rPr>
        <w:t xml:space="preserve">12.1 </w:t>
      </w:r>
      <w:r>
        <w:rPr>
          <w:rFonts w:cs="Arial" w:ascii="Calibri" w:hAnsi="Calibri" w:asciiTheme="minorHAnsi" w:hAnsiTheme="minorHAnsi"/>
          <w:sz w:val="20"/>
          <w:lang w:val="it-IT"/>
        </w:rPr>
        <w:t>Il FORNITORE ha un piano di business continuity management (“Business Continuity”) che può essere verificato dal CLIENTE. L’obiettivo di questo piano deve essere quello di proteggere e assicurare la disponibilità del Servizio fornito dal FORNITORE al CLIENTE, proteggere lo staff, limitare le perdite finanziarie, preservare la reputazione del CLIENTE e organizzare il ritorno alla normale operatività. E’ richiesto che il piano di Business Continuity definito dal FORNITORE sia conforme alle normative locali in termini di Business Continuity.</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sz w:val="20"/>
          <w:lang w:val="it-IT"/>
        </w:rPr>
        <w:t>Il FORNITORE dovrà testare il piano di Business Continuity con una determinata regolarità (e in ogni caso con frequenza non inferiore ai 12 mesi). Il CLIENTE può chiedere al FORNITORE di condurre test addizionali sul piano di Business Continuity. Il CLIENTE si riserva il diritto di assistere ai test del piano di Business Continuity del FORNITORE.</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sz w:val="20"/>
          <w:lang w:val="it-IT"/>
        </w:rPr>
        <w:t>Il CLIENTE può chiedere al FORNITORE di partecipare ai test del proprio piano di Business Continuity. Ogni eventuale richiesta di partecipazione verrà formulata per iscritto al FORNITORE con un congruo tempo di preavviso.</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b/>
          <w:sz w:val="20"/>
          <w:lang w:val="it-IT"/>
        </w:rPr>
        <w:t xml:space="preserve">12.2 </w:t>
      </w:r>
      <w:r>
        <w:rPr>
          <w:rFonts w:cs="Arial" w:ascii="Calibri" w:hAnsi="Calibri" w:asciiTheme="minorHAnsi" w:hAnsiTheme="minorHAnsi"/>
          <w:sz w:val="20"/>
          <w:lang w:val="it-IT"/>
        </w:rPr>
        <w:t>Il CLIENTE chiede al FORNITORE di avere in essere procedure di gestione degli incidenti (c.d. Crisis Management) e di notificare gli incidenti che possano interrompere il Servizio.</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sz w:val="20"/>
          <w:lang w:val="it-IT"/>
        </w:rPr>
        <w:t xml:space="preserve">Qualora il Servizio offerto sia di tipo tecnologico o comunque venga realizzato attraverso l’uso di sistemi informativi è necessario che il FORNITORE dia evidenza al CLIENTE del piano del c.d. Disaster Recovery associato ai sistemi coinvolti ed eventualmente del sistema di Alta Affidabilità. </w:t>
      </w:r>
    </w:p>
    <w:p>
      <w:pPr>
        <w:pStyle w:val="Richiamo0"/>
        <w:suppressAutoHyphens w:val="true"/>
        <w:spacing w:lineRule="auto" w:line="240" w:before="288" w:after="288"/>
        <w:ind w:left="0" w:hanging="0"/>
        <w:rPr>
          <w:rFonts w:ascii="Calibri" w:hAnsi="Calibri" w:cs="Arial" w:asciiTheme="minorHAnsi" w:hAnsiTheme="minorHAnsi"/>
          <w:sz w:val="20"/>
          <w:lang w:val="it-IT"/>
        </w:rPr>
      </w:pPr>
      <w:r>
        <w:rPr>
          <w:rFonts w:cs="Arial" w:ascii="Calibri" w:hAnsi="Calibri" w:asciiTheme="minorHAnsi" w:hAnsiTheme="minorHAnsi"/>
          <w:sz w:val="20"/>
          <w:lang w:val="it-IT"/>
        </w:rPr>
        <w:t xml:space="preserve">Devono essere effettuate comunicazioni al CLIENTE da parte del FORNITORE relative a incidenti, attivazioni del piano di Business Continuity e di Disaster Recovery. </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13 Attività relative all’hardware – servizi sistemistici e TLC</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13.1</w:t>
      </w:r>
      <w:r>
        <w:rPr>
          <w:rFonts w:cs="Arial" w:ascii="Calibri" w:hAnsi="Calibri" w:asciiTheme="minorHAnsi" w:hAnsiTheme="minorHAnsi"/>
          <w:sz w:val="20"/>
          <w:szCs w:val="20"/>
        </w:rPr>
        <w:t xml:space="preserve"> In caso di ritiro o sostituzione di apparecchiature informatiche utilizzate dal CLIENTE e/o di memorie di qualunque tipo che possano contenere programmi per elaboratore o dati del CLIENTE, di società del suo Gruppo e/o di suoi/loro clienti o aventi causa, tutti i dati contenuti nelle memorie sostituite dovranno essere cancellati in modo irreversibile a cura del FORNITORE, previo inserimento dei dati sulla nuova apparecchiatura o su idoneo supporto, secondo le richieste del CLIENTE.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13.2</w:t>
      </w:r>
      <w:r>
        <w:rPr>
          <w:rFonts w:cs="Arial" w:ascii="Calibri" w:hAnsi="Calibri" w:asciiTheme="minorHAnsi" w:hAnsiTheme="minorHAnsi"/>
          <w:sz w:val="20"/>
          <w:szCs w:val="20"/>
        </w:rPr>
        <w:t xml:space="preserve"> In tutte le attività di manutenzione come pure nei servizi sistemistici e di gestione delle reti, dovranno essere prese - in coordinamento con il CLIENTE - misure atte a prevenire la perdita anche accidentale di dati, anche residenti su apparecchiature diverse da quelle sulle quali si esegue l’intervento. </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14 Diritto di Audit</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14.1</w:t>
      </w:r>
      <w:r>
        <w:rPr>
          <w:rFonts w:cs="Arial" w:ascii="Calibri" w:hAnsi="Calibri" w:asciiTheme="minorHAnsi" w:hAnsiTheme="minorHAnsi"/>
          <w:sz w:val="20"/>
          <w:szCs w:val="20"/>
        </w:rPr>
        <w:t xml:space="preserve"> Il CLIENTE (o il proprio personale delegato) deve avere il diritto di ispezionare/verificare regolarmente (almeno annualmente o ad intervalli pianificati) i processi e le procedure di sicurezza implementati all'interno dei servizi forniti, che comprendono almeno: processo di Risk Management e Information Security Management, processo di Incident e Change Management, security Test (Vulnerability &amp; Pentest), linee guida di Hardening dei sistemi, BCP &amp; DR e gli altri servizi e processi di Contingency.</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14.2</w:t>
      </w:r>
      <w:r>
        <w:rPr>
          <w:rFonts w:cs="Arial" w:ascii="Calibri" w:hAnsi="Calibri" w:asciiTheme="minorHAnsi" w:hAnsiTheme="minorHAnsi"/>
          <w:sz w:val="20"/>
          <w:szCs w:val="20"/>
        </w:rPr>
        <w:t xml:space="preserve"> Il CLIENTE deve avere il diritto di ispezionare, senza costi addizionali, i processi operativi implementati per il servizio, basati sull’ambito, sull’estensione e sull’accordo con le terze parti.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14.3</w:t>
      </w:r>
      <w:r>
        <w:rPr>
          <w:rFonts w:cs="Arial" w:ascii="Calibri" w:hAnsi="Calibri" w:asciiTheme="minorHAnsi" w:hAnsiTheme="minorHAnsi"/>
          <w:sz w:val="20"/>
          <w:szCs w:val="20"/>
        </w:rPr>
        <w:t xml:space="preserve"> Il CLIENTE si riserva il diritto di richiedere cambiamenti ai processi di sicurezza del Cliente, se sono considerati inadeguati. Tali cambiamenti dovrebbero essere concordati reciprocamente, ragionevoli commercialmente e soggetti a delle tempistiche accettabili.</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14.4</w:t>
      </w:r>
      <w:r>
        <w:rPr>
          <w:rFonts w:cs="Arial" w:ascii="Calibri" w:hAnsi="Calibri" w:asciiTheme="minorHAnsi" w:hAnsiTheme="minorHAnsi"/>
          <w:sz w:val="20"/>
          <w:szCs w:val="20"/>
        </w:rPr>
        <w:t xml:space="preserve"> Il CLIENTE si riserva il diritto di richiedere dei report di audit per la verifica delle disposizioni adottate per la gestione dei rischi da parte del FORNITORE, quali ad esempio i report di valutazione della Sicurezza IT come i Penetration Test, Vulnerability assessment, BCP/DR Plan, Test reports, etc.</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14.5</w:t>
      </w:r>
      <w:r>
        <w:rPr>
          <w:rFonts w:cs="Arial" w:ascii="Calibri" w:hAnsi="Calibri" w:asciiTheme="minorHAnsi" w:hAnsiTheme="minorHAnsi"/>
          <w:sz w:val="20"/>
          <w:szCs w:val="20"/>
        </w:rPr>
        <w:t xml:space="preserve"> Il CLIENTE si riserva il diritto di richiedere annualmente la compilazione di un questionario di Self Assessment, con l’obiettivo di valutare il livello di Compliance del FORNITORE alle misure di sicurezza interne.</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14.6</w:t>
      </w:r>
      <w:r>
        <w:rPr>
          <w:rFonts w:cs="Arial" w:ascii="Calibri" w:hAnsi="Calibri" w:asciiTheme="minorHAnsi" w:hAnsiTheme="minorHAnsi"/>
          <w:sz w:val="20"/>
          <w:szCs w:val="20"/>
        </w:rPr>
        <w:t xml:space="preserve"> Il CLIENTE (o il proprio personale delegato, che ha firmato un accordo di non divulgazione “NDA”) potrà accedere ai siti del FORNITORE, previo consenso della stessa (in caso di negazione, dovrà essere fornita opportuna motivazione) ed è soggetta alle disposizioni vigenti di sicurezza, all’accordo con relativo preavviso sui dettagli del personale, le tempistiche, la durata e l’ambito dei servizi forniti, all’eventuale negazione dell’acceso al personale delegato dal CLIENTE, in caso di conflitto di ruoli o impatti sulle performance del Cliente.</w:t>
      </w:r>
    </w:p>
    <w:p>
      <w:pPr>
        <w:pStyle w:val="Normal"/>
        <w:spacing w:before="288" w:after="288"/>
        <w:rPr>
          <w:rFonts w:ascii="Calibri" w:hAnsi="Calibri" w:cs="Arial" w:asciiTheme="minorHAnsi" w:hAnsiTheme="minorHAnsi"/>
          <w:b/>
          <w:b/>
          <w:sz w:val="20"/>
          <w:szCs w:val="20"/>
        </w:rPr>
      </w:pPr>
      <w:r>
        <w:rPr>
          <w:rFonts w:cs="Arial" w:ascii="Calibri" w:hAnsi="Calibri" w:asciiTheme="minorHAnsi" w:hAnsiTheme="minorHAnsi"/>
          <w:b/>
          <w:sz w:val="20"/>
          <w:szCs w:val="20"/>
        </w:rPr>
        <w:t>15 Amministratori di sistema</w:t>
      </w:r>
    </w:p>
    <w:p>
      <w:pPr>
        <w:pStyle w:val="Normal"/>
        <w:spacing w:before="288" w:after="288"/>
        <w:jc w:val="both"/>
        <w:rPr>
          <w:rFonts w:ascii="Calibri" w:hAnsi="Calibri" w:cs="Arial" w:asciiTheme="minorHAnsi" w:hAnsiTheme="minorHAnsi"/>
          <w:sz w:val="20"/>
          <w:szCs w:val="20"/>
        </w:rPr>
      </w:pPr>
      <w:r>
        <w:rPr>
          <w:rFonts w:cs="Arial" w:ascii="Calibri" w:hAnsi="Calibri" w:asciiTheme="minorHAnsi" w:hAnsiTheme="minorHAnsi"/>
          <w:b/>
          <w:sz w:val="20"/>
          <w:szCs w:val="20"/>
        </w:rPr>
        <w:t>15.1</w:t>
      </w:r>
      <w:r>
        <w:rPr>
          <w:rFonts w:cs="Arial" w:ascii="Calibri" w:hAnsi="Calibri" w:asciiTheme="minorHAnsi" w:hAnsiTheme="minorHAnsi"/>
          <w:sz w:val="20"/>
          <w:szCs w:val="20"/>
        </w:rPr>
        <w:t xml:space="preserve"> Il FORNITORE è tenuto a mantenere una lista aggiornata degli “amministratori di sistema” abilitati ad operare sui dati o sui sistemi del CLIENTE e a comunicarne gli estremi su richiesta e/o alle scadenze concordate.</w:t>
      </w:r>
    </w:p>
    <w:p>
      <w:pPr>
        <w:pStyle w:val="Normal"/>
        <w:spacing w:before="288" w:after="288"/>
        <w:jc w:val="both"/>
        <w:rPr/>
      </w:pPr>
      <w:r>
        <w:rPr>
          <w:rFonts w:cs="Arial" w:ascii="Calibri" w:hAnsi="Calibri" w:asciiTheme="minorHAnsi" w:hAnsiTheme="minorHAnsi"/>
          <w:b/>
          <w:sz w:val="20"/>
          <w:szCs w:val="20"/>
        </w:rPr>
        <w:t>15.2</w:t>
      </w:r>
      <w:r>
        <w:rPr>
          <w:rFonts w:cs="Arial" w:ascii="Calibri" w:hAnsi="Calibri" w:asciiTheme="minorHAnsi" w:hAnsiTheme="minorHAnsi"/>
          <w:sz w:val="20"/>
          <w:szCs w:val="20"/>
        </w:rPr>
        <w:t xml:space="preserve"> Il FORNITORE è tenuto ad effettuare le necessarie verifiche preventive di affidabilità, nonché le verifiche periodiche previste dalla normativa, dandone conto secondo necessità.</w:t>
      </w:r>
    </w:p>
    <w:sectPr>
      <w:headerReference w:type="default" r:id="rId2"/>
      <w:type w:val="nextPage"/>
      <w:pgSz w:w="11906" w:h="16838"/>
      <w:pgMar w:left="1134" w:right="1134" w:header="284"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4445">
          <wp:extent cx="720090" cy="44577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720090" cy="445770"/>
                  </a:xfrm>
                  <a:prstGeom prst="rect">
                    <a:avLst/>
                  </a:prstGeom>
                </pic:spPr>
              </pic:pic>
            </a:graphicData>
          </a:graphic>
        </wp:inline>
      </w:drawing>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2de3"/>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22de3"/>
    <w:rPr>
      <w:rFonts w:ascii="Times New Roman" w:hAnsi="Times New Roman" w:eastAsia="Times New Roman" w:cs="Times New Roman"/>
      <w:sz w:val="24"/>
      <w:szCs w:val="24"/>
      <w:lang w:eastAsia="it-IT"/>
    </w:rPr>
  </w:style>
  <w:style w:type="character" w:styleId="FooterChar" w:customStyle="1">
    <w:name w:val="Footer Char"/>
    <w:basedOn w:val="DefaultParagraphFont"/>
    <w:link w:val="Footer"/>
    <w:uiPriority w:val="99"/>
    <w:qFormat/>
    <w:rsid w:val="00322de3"/>
    <w:rPr>
      <w:rFonts w:ascii="Times New Roman" w:hAnsi="Times New Roman" w:eastAsia="Times New Roman" w:cs="Times New Roman"/>
      <w:sz w:val="24"/>
      <w:szCs w:val="24"/>
      <w:lang w:eastAsia="it-IT"/>
    </w:rPr>
  </w:style>
  <w:style w:type="character" w:styleId="BalloonTextChar" w:customStyle="1">
    <w:name w:val="Balloon Text Char"/>
    <w:basedOn w:val="DefaultParagraphFont"/>
    <w:link w:val="BalloonText"/>
    <w:uiPriority w:val="99"/>
    <w:semiHidden/>
    <w:qFormat/>
    <w:rsid w:val="00173a70"/>
    <w:rPr>
      <w:rFonts w:ascii="Tahoma" w:hAnsi="Tahoma" w:eastAsia="Times New Roman" w:cs="Tahoma"/>
      <w:sz w:val="16"/>
      <w:szCs w:val="16"/>
      <w:lang w:eastAsia="it-IT"/>
    </w:rPr>
  </w:style>
  <w:style w:type="character" w:styleId="Annotationreference">
    <w:name w:val="annotation reference"/>
    <w:basedOn w:val="DefaultParagraphFont"/>
    <w:uiPriority w:val="99"/>
    <w:semiHidden/>
    <w:unhideWhenUsed/>
    <w:qFormat/>
    <w:rsid w:val="00fd39c2"/>
    <w:rPr>
      <w:sz w:val="16"/>
      <w:szCs w:val="16"/>
    </w:rPr>
  </w:style>
  <w:style w:type="character" w:styleId="CommentTextChar" w:customStyle="1">
    <w:name w:val="Comment Text Char"/>
    <w:basedOn w:val="DefaultParagraphFont"/>
    <w:link w:val="CommentText"/>
    <w:uiPriority w:val="99"/>
    <w:semiHidden/>
    <w:qFormat/>
    <w:rsid w:val="00fd39c2"/>
    <w:rPr>
      <w:rFonts w:ascii="Times New Roman" w:hAnsi="Times New Roman" w:eastAsia="Times New Roman" w:cs="Times New Roman"/>
      <w:sz w:val="20"/>
      <w:szCs w:val="20"/>
      <w:lang w:eastAsia="it-IT"/>
    </w:rPr>
  </w:style>
  <w:style w:type="character" w:styleId="CommentSubjectChar" w:customStyle="1">
    <w:name w:val="Comment Subject Char"/>
    <w:basedOn w:val="CommentTextChar"/>
    <w:link w:val="CommentSubject"/>
    <w:uiPriority w:val="99"/>
    <w:semiHidden/>
    <w:qFormat/>
    <w:rsid w:val="00fd39c2"/>
    <w:rPr>
      <w:rFonts w:ascii="Times New Roman" w:hAnsi="Times New Roman" w:eastAsia="Times New Roman" w:cs="Times New Roman"/>
      <w:b/>
      <w:bCs/>
      <w:sz w:val="20"/>
      <w:szCs w:val="20"/>
      <w:lang w:eastAsia="it-IT"/>
    </w:rPr>
  </w:style>
  <w:style w:type="character" w:styleId="Shorttext" w:customStyle="1">
    <w:name w:val="short_text"/>
    <w:basedOn w:val="DefaultParagraphFont"/>
    <w:qFormat/>
    <w:rsid w:val="00e463b3"/>
    <w:rPr/>
  </w:style>
  <w:style w:type="character" w:styleId="Hps" w:customStyle="1">
    <w:name w:val="hps"/>
    <w:basedOn w:val="DefaultParagraphFont"/>
    <w:qFormat/>
    <w:rsid w:val="00e463b3"/>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val="fals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HeaderChar"/>
    <w:uiPriority w:val="99"/>
    <w:unhideWhenUsed/>
    <w:rsid w:val="00322de3"/>
    <w:pPr>
      <w:tabs>
        <w:tab w:val="center" w:pos="4819" w:leader="none"/>
        <w:tab w:val="right" w:pos="9638" w:leader="none"/>
      </w:tabs>
    </w:pPr>
    <w:rPr/>
  </w:style>
  <w:style w:type="paragraph" w:styleId="Pidipagina">
    <w:name w:val="Footer"/>
    <w:basedOn w:val="Normal"/>
    <w:link w:val="FooterChar"/>
    <w:uiPriority w:val="99"/>
    <w:unhideWhenUsed/>
    <w:rsid w:val="00322de3"/>
    <w:pPr>
      <w:tabs>
        <w:tab w:val="center" w:pos="4819" w:leader="none"/>
        <w:tab w:val="right" w:pos="9638" w:leader="none"/>
      </w:tabs>
    </w:pPr>
    <w:rPr/>
  </w:style>
  <w:style w:type="paragraph" w:styleId="BalloonText">
    <w:name w:val="Balloon Text"/>
    <w:basedOn w:val="Normal"/>
    <w:link w:val="BalloonTextChar"/>
    <w:uiPriority w:val="99"/>
    <w:semiHidden/>
    <w:unhideWhenUsed/>
    <w:qFormat/>
    <w:rsid w:val="00173a70"/>
    <w:pPr/>
    <w:rPr>
      <w:rFonts w:ascii="Tahoma" w:hAnsi="Tahoma" w:cs="Tahoma"/>
      <w:sz w:val="16"/>
      <w:szCs w:val="16"/>
    </w:rPr>
  </w:style>
  <w:style w:type="paragraph" w:styleId="Annotationtext">
    <w:name w:val="annotation text"/>
    <w:basedOn w:val="Normal"/>
    <w:link w:val="CommentTextChar"/>
    <w:uiPriority w:val="99"/>
    <w:semiHidden/>
    <w:unhideWhenUsed/>
    <w:qFormat/>
    <w:rsid w:val="00fd39c2"/>
    <w:pPr/>
    <w:rPr>
      <w:sz w:val="20"/>
      <w:szCs w:val="20"/>
    </w:rPr>
  </w:style>
  <w:style w:type="paragraph" w:styleId="Annotationsubject">
    <w:name w:val="annotation subject"/>
    <w:basedOn w:val="Annotationtext"/>
    <w:link w:val="CommentSubjectChar"/>
    <w:uiPriority w:val="99"/>
    <w:semiHidden/>
    <w:unhideWhenUsed/>
    <w:qFormat/>
    <w:rsid w:val="00fd39c2"/>
    <w:pPr/>
    <w:rPr>
      <w:b/>
      <w:bCs/>
    </w:rPr>
  </w:style>
  <w:style w:type="paragraph" w:styleId="ListParagraph">
    <w:name w:val="List Paragraph"/>
    <w:basedOn w:val="Normal"/>
    <w:uiPriority w:val="34"/>
    <w:qFormat/>
    <w:rsid w:val="00fb1b24"/>
    <w:pPr>
      <w:spacing w:before="0" w:after="0"/>
      <w:ind w:left="720" w:hanging="0"/>
      <w:contextualSpacing/>
    </w:pPr>
    <w:rPr/>
  </w:style>
  <w:style w:type="paragraph" w:styleId="Revision">
    <w:name w:val="Revision"/>
    <w:uiPriority w:val="99"/>
    <w:semiHidden/>
    <w:qFormat/>
    <w:rsid w:val="00901fc4"/>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Richiamo0" w:customStyle="1">
    <w:name w:val="Richiamo 0"/>
    <w:basedOn w:val="Normal"/>
    <w:uiPriority w:val="99"/>
    <w:qFormat/>
    <w:rsid w:val="00c32a86"/>
    <w:pPr>
      <w:tabs>
        <w:tab w:val="left" w:pos="396" w:leader="none"/>
        <w:tab w:val="left" w:pos="855" w:leader="none"/>
        <w:tab w:val="left" w:pos="1140" w:leader="none"/>
        <w:tab w:val="left" w:pos="1425" w:leader="none"/>
      </w:tabs>
      <w:overflowPunct w:val="true"/>
      <w:spacing w:lineRule="exact" w:line="283"/>
      <w:ind w:left="396" w:hanging="396"/>
      <w:jc w:val="both"/>
      <w:textAlignment w:val="baseline"/>
    </w:pPr>
    <w:rPr>
      <w:szCs w:val="20"/>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322de3"/>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88F0-4B6B-46D6-870C-B1422389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LibreOffice/5.4.1.2$Windows_X86_64 LibreOffice_project/ea7cb86e6eeb2bf3a5af73a8f7777ac570321527</Application>
  <Pages>5</Pages>
  <Words>3256</Words>
  <Characters>19026</Characters>
  <CharactersWithSpaces>22192</CharactersWithSpaces>
  <Paragraphs>114</Paragraphs>
  <Company>Intesa-Sanpaolo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2018-06-20T08:35:00Z</dcterms:created>
  <dc:creator>Federico Marchesi</dc:creator>
  <dc:description/>
  <dc:language>it-IT</dc:language>
  <cp:lastModifiedBy>Castagna, Sonia (IT)</cp:lastModifiedBy>
  <cp:lastPrinted>2014-06-19T14:00:00Z</cp:lastPrinted>
  <dcterms:modified xsi:type="dcterms:W3CDTF">2018-10-17T12:56:00Z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Intesa-Sanpaolo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